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B6" w:rsidRDefault="00206019" w:rsidP="00066B46">
      <w:pPr>
        <w:spacing w:beforeLines="100" w:afterLines="100" w:line="60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常州市非物质文化遗产项目代表性传承人评估暂行办法</w:t>
      </w:r>
    </w:p>
    <w:p w:rsidR="00DA0CB6" w:rsidRDefault="00206019" w:rsidP="00066B46">
      <w:pPr>
        <w:spacing w:beforeLines="100" w:afterLines="100"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（征求意见稿）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为了非物质文化遗产的传承工作，加强对非物质文化遗产代表性传承人的规范化管理，根据《中华人民共和国非物质文化遗产法》《江苏省非物质文化遗产保护条例》《常州市非物质文化遗产保护办法》等有关法律法规的规定，制定本办法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对本市市级（含）以上非物质文化遗产项目代表性传承人（以下简称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代表性传承人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）的评估，适用本办法。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第三条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代表性传承人评估应当遵循公平、公正、公开的原则。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第四条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市文化主管部门负责对代表性传承人评估的管理。市非物质文化遗产保护中心（以下简称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市非遗中心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）负责对市直属代表性传承人</w:t>
      </w:r>
      <w:r>
        <w:rPr>
          <w:rFonts w:eastAsia="仿宋_GB2312"/>
          <w:sz w:val="32"/>
          <w:szCs w:val="32"/>
        </w:rPr>
        <w:t>的评估工作；各辖市（区）文化主管部门负责对当地代表性传承人评估工作。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评估原则上每两年进行一次。代表性传承人被举报或者经检查发现不履行义务的，应当及时进行评估。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第六条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在市文化主管部门指导下，市非</w:t>
      </w:r>
      <w:proofErr w:type="gramStart"/>
      <w:r>
        <w:rPr>
          <w:rFonts w:eastAsia="仿宋_GB2312"/>
          <w:sz w:val="32"/>
          <w:szCs w:val="32"/>
        </w:rPr>
        <w:t>遗中心</w:t>
      </w:r>
      <w:proofErr w:type="gramEnd"/>
      <w:r>
        <w:rPr>
          <w:rFonts w:eastAsia="仿宋_GB2312"/>
          <w:sz w:val="32"/>
          <w:szCs w:val="32"/>
        </w:rPr>
        <w:t>制定代表性传承人评估标准细则，作为评估依据。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第七条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市非</w:t>
      </w:r>
      <w:proofErr w:type="gramStart"/>
      <w:r>
        <w:rPr>
          <w:rFonts w:eastAsia="仿宋_GB2312"/>
          <w:sz w:val="32"/>
          <w:szCs w:val="32"/>
        </w:rPr>
        <w:t>遗中心</w:t>
      </w:r>
      <w:proofErr w:type="gramEnd"/>
      <w:r>
        <w:rPr>
          <w:rFonts w:eastAsia="仿宋_GB2312"/>
          <w:sz w:val="32"/>
          <w:szCs w:val="32"/>
        </w:rPr>
        <w:t>和各辖市（区）文化主管部门应当</w:t>
      </w:r>
      <w:r>
        <w:rPr>
          <w:rFonts w:eastAsia="仿宋_GB2312"/>
          <w:sz w:val="32"/>
          <w:szCs w:val="32"/>
        </w:rPr>
        <w:lastRenderedPageBreak/>
        <w:t>建立代表性传承人评估档案，对代表性传承人履行义务情况进行动态管理。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第八条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市和各辖市（区）文化主管部门应当各自建立非物质文化遗产专家库，参与评估的专家应当从专家库中产生。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第九条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市非</w:t>
      </w:r>
      <w:proofErr w:type="gramStart"/>
      <w:r>
        <w:rPr>
          <w:rFonts w:eastAsia="仿宋_GB2312"/>
          <w:sz w:val="32"/>
          <w:szCs w:val="32"/>
        </w:rPr>
        <w:t>遗中心</w:t>
      </w:r>
      <w:proofErr w:type="gramEnd"/>
      <w:r>
        <w:rPr>
          <w:rFonts w:eastAsia="仿宋_GB2312"/>
          <w:sz w:val="32"/>
          <w:szCs w:val="32"/>
        </w:rPr>
        <w:t>和各辖市（区）文化主管部门应当成立评估小组负责对代表性传承人的评估，每个评估小组中的专家人数应不少于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人。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评估采取书面材料审核与实地考核相结合的方式，由评估小组做出评分。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代表性传承人评估包括以下内容：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（一）代表性传承人从事非物质文化遗产项目实践活动情况；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（二）代表性传承人开展后继人才培养等传承工作情况；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（三）代表性传承人参与或者自行开展实物、资料收集、整理、记录工作情况；开展理论研究工作、发表论文、出版专著等情况；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（四）代表性传承人参与或者自行开展公益性传播活动情况；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代表性传承人参加文化主管部门组织的宣传展示活动情况</w:t>
      </w:r>
      <w:r>
        <w:rPr>
          <w:rFonts w:eastAsia="仿宋_GB2312"/>
          <w:sz w:val="32"/>
          <w:szCs w:val="32"/>
        </w:rPr>
        <w:t>;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（六）规范使用补助资金，以及使用明细上报的情况；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（七）代表性传承人开展的其他保护、传承工作情况。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lastRenderedPageBreak/>
        <w:t>第十一条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代表性传承人评估工作程序：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（一）市文化主管部门发布评估工作通知；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（二）成立评估小组，具体负责代表性传承人的评估工作；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（三）各辖市（区）文化主管部门组织评估小组按照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评估标准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的要求，对代表性传承人进行材料审核和实地考核，提出初评意见报市非遗中心；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（四）市非</w:t>
      </w:r>
      <w:proofErr w:type="gramStart"/>
      <w:r>
        <w:rPr>
          <w:rFonts w:eastAsia="仿宋_GB2312"/>
          <w:sz w:val="32"/>
          <w:szCs w:val="32"/>
        </w:rPr>
        <w:t>遗中心</w:t>
      </w:r>
      <w:proofErr w:type="gramEnd"/>
      <w:r>
        <w:rPr>
          <w:rFonts w:eastAsia="仿宋_GB2312"/>
          <w:sz w:val="32"/>
          <w:szCs w:val="32"/>
        </w:rPr>
        <w:t>按照本办法规定，组织相关专家对各地上报的意见进行审核，并视情况抽样实地核查，</w:t>
      </w:r>
      <w:r>
        <w:rPr>
          <w:rFonts w:eastAsia="仿宋_GB2312"/>
          <w:sz w:val="32"/>
          <w:szCs w:val="32"/>
        </w:rPr>
        <w:t>形成评估结果；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（五）市文化主管部门应当将评估结果公示，征求公众意见，公示时间不得少于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天。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（六）评估结果由市文化主管部门发文确认。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第十二条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评估结果分为合格和不合格。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第十三条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代表性传承人有下列行为之一的，评估结果视为不合格：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（一）无正当理由拒绝参加评估，或者受到限制人身自由的处罚无法参加评估的；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（二）毁坏项目现有资料实物，不配合文化主管部门开展公益性活动或者资料收集整理记录工作的；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（三）在所传承的非物质文化遗产代表性项目经营活动中有销售伪劣产品、以他人作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产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品冒充为本人作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产</w:t>
      </w:r>
      <w:r>
        <w:rPr>
          <w:rFonts w:eastAsia="仿宋_GB2312"/>
          <w:sz w:val="32"/>
          <w:szCs w:val="32"/>
        </w:rPr>
        <w:t>)</w:t>
      </w:r>
      <w:proofErr w:type="gramStart"/>
      <w:r>
        <w:rPr>
          <w:rFonts w:eastAsia="仿宋_GB2312"/>
          <w:sz w:val="32"/>
          <w:szCs w:val="32"/>
        </w:rPr>
        <w:t>品或者</w:t>
      </w:r>
      <w:proofErr w:type="gramEnd"/>
      <w:r>
        <w:rPr>
          <w:rFonts w:eastAsia="仿宋_GB2312"/>
          <w:sz w:val="32"/>
          <w:szCs w:val="32"/>
        </w:rPr>
        <w:t>将核心技艺部分系机器加工品冒充为本人手工制作的；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（四）获得市级以上文化部门下拨的项目保护经费后，将经费挪作他用，或者未开展有关工作的；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（五）在评估中有弄虚作假行为的；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（六）有触犯国家法律、法规的行为，被刑事处罚的、被列为失信人员的；</w:t>
      </w:r>
      <w:r>
        <w:rPr>
          <w:rFonts w:eastAsia="仿宋_GB2312"/>
          <w:sz w:val="32"/>
          <w:szCs w:val="32"/>
        </w:rPr>
        <w:t xml:space="preserve"> 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第十四条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评估结果为合格的代表性传承人，继续享有常州市级代表性传承人的相关权益。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评估结果为不合格的代表性传承人，市文化主管部门对其提出书面告诫，督促其改进相关工作。代表性传承人在评估后的两年内不得申请项目、传承</w:t>
      </w:r>
      <w:proofErr w:type="gramStart"/>
      <w:r>
        <w:rPr>
          <w:rFonts w:eastAsia="仿宋_GB2312"/>
          <w:sz w:val="32"/>
          <w:szCs w:val="32"/>
        </w:rPr>
        <w:t>人各级</w:t>
      </w:r>
      <w:proofErr w:type="gramEnd"/>
      <w:r>
        <w:rPr>
          <w:rFonts w:eastAsia="仿宋_GB2312"/>
          <w:sz w:val="32"/>
          <w:szCs w:val="32"/>
        </w:rPr>
        <w:t>资助经费。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第十五条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代表性传承人因严重健康问题或者遭遇重大变故等非主观原因，影响职责履行，向市文化主管部门提出不参加评估的，经市文化主管部门确认后，可以不参加评估。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第十六条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因出现本办法第十五条规定之情形，连续两次不参加评估的，市文化主管部门视其过去对非物质文化遗产代表性项目传承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的贡献程度，可以将其列为荣誉传承人，或视为自动退出代表性传承人。列为荣誉传承人的仍可以享受每年的传承人津贴。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第十七条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代表性传承人连续两次评估结果为不合格的，市文化主管部门可以依法取消其市级代表性传承人资格，并以适当形式向社会公布。</w:t>
      </w:r>
    </w:p>
    <w:p w:rsidR="00DA0CB6" w:rsidRDefault="0020601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被取消</w:t>
      </w:r>
      <w:r>
        <w:rPr>
          <w:rFonts w:eastAsia="仿宋_GB2312"/>
          <w:sz w:val="32"/>
          <w:szCs w:val="32"/>
        </w:rPr>
        <w:t>资格的代表性传承人，如果为省级以上代表性传</w:t>
      </w:r>
      <w:r>
        <w:rPr>
          <w:rFonts w:eastAsia="仿宋_GB2312"/>
          <w:sz w:val="32"/>
          <w:szCs w:val="32"/>
        </w:rPr>
        <w:lastRenderedPageBreak/>
        <w:t>承人，市文化主管部门应当及时向上级主管部门书面汇报有关情况。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第十八条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代表性传承人评估过程应接受市纪委第八派驻纪检组全程监督。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第十九条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辖市（区）级代表性传承人评估，可参考本办法执行。</w:t>
      </w:r>
    </w:p>
    <w:p w:rsidR="00DA0CB6" w:rsidRDefault="0020601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第二十条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本办法自</w:t>
      </w:r>
      <w:r>
        <w:rPr>
          <w:rFonts w:eastAsia="仿宋_GB2312" w:hint="eastAsia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XX</w:t>
      </w:r>
      <w:bookmarkStart w:id="0" w:name="_GoBack"/>
      <w:bookmarkEnd w:id="0"/>
      <w:r>
        <w:rPr>
          <w:rFonts w:eastAsia="仿宋_GB2312"/>
          <w:sz w:val="32"/>
          <w:szCs w:val="32"/>
        </w:rPr>
        <w:t>日起施行。</w:t>
      </w:r>
    </w:p>
    <w:p w:rsidR="00DA0CB6" w:rsidRDefault="00DA0CB6">
      <w:pPr>
        <w:pStyle w:val="a6"/>
        <w:spacing w:line="432" w:lineRule="auto"/>
        <w:ind w:firstLine="480"/>
        <w:rPr>
          <w:rFonts w:ascii="Times New Roman" w:eastAsia="仿宋_GB2312" w:hAnsi="Times New Roman" w:cs="Times New Roman"/>
          <w:sz w:val="32"/>
          <w:szCs w:val="32"/>
        </w:rPr>
      </w:pPr>
    </w:p>
    <w:sectPr w:rsidR="00DA0CB6" w:rsidSect="00DA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19" w:rsidRDefault="00206019" w:rsidP="00066B46">
      <w:r>
        <w:separator/>
      </w:r>
    </w:p>
  </w:endnote>
  <w:endnote w:type="continuationSeparator" w:id="0">
    <w:p w:rsidR="00206019" w:rsidRDefault="00206019" w:rsidP="0006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19" w:rsidRDefault="00206019" w:rsidP="00066B46">
      <w:r>
        <w:separator/>
      </w:r>
    </w:p>
  </w:footnote>
  <w:footnote w:type="continuationSeparator" w:id="0">
    <w:p w:rsidR="00206019" w:rsidRDefault="00206019" w:rsidP="00066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F6"/>
    <w:rsid w:val="00066B46"/>
    <w:rsid w:val="001A18BE"/>
    <w:rsid w:val="00206019"/>
    <w:rsid w:val="00483E38"/>
    <w:rsid w:val="006B3205"/>
    <w:rsid w:val="00741CDC"/>
    <w:rsid w:val="008A5F2F"/>
    <w:rsid w:val="00DA0CB6"/>
    <w:rsid w:val="00E92BF6"/>
    <w:rsid w:val="641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0CB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DA0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A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A0C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DA0CB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DA0C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CB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A0CB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2</cp:revision>
  <dcterms:created xsi:type="dcterms:W3CDTF">2018-11-30T02:46:00Z</dcterms:created>
  <dcterms:modified xsi:type="dcterms:W3CDTF">2018-11-30T02:46:00Z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